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76" w:rsidRPr="00451D76" w:rsidRDefault="00451D76" w:rsidP="00451D76">
      <w:pPr>
        <w:jc w:val="both"/>
      </w:pPr>
    </w:p>
    <w:p w:rsidR="00451D76" w:rsidRPr="00451D76" w:rsidRDefault="00451D76" w:rsidP="00451D76">
      <w:pPr>
        <w:jc w:val="both"/>
      </w:pPr>
      <w:r w:rsidRPr="00451D76">
        <w:t>                   </w:t>
      </w:r>
      <w:r w:rsidRPr="00451D76">
        <w:rPr>
          <w:b/>
          <w:bCs/>
          <w:noProof/>
          <w:lang w:eastAsia="hr-HR"/>
        </w:rPr>
        <w:drawing>
          <wp:inline distT="0" distB="0" distL="0" distR="0">
            <wp:extent cx="409575" cy="552450"/>
            <wp:effectExtent l="0" t="0" r="9525" b="0"/>
            <wp:docPr id="4" name="Slika 4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1D76">
        <w:t xml:space="preserve">                </w:t>
      </w:r>
    </w:p>
    <w:p w:rsidR="00451D76" w:rsidRPr="00451D76" w:rsidRDefault="00451D76" w:rsidP="00451D76">
      <w:pPr>
        <w:jc w:val="both"/>
        <w:rPr>
          <w:b/>
          <w:bCs/>
        </w:rPr>
      </w:pPr>
      <w:r w:rsidRPr="00451D76">
        <w:rPr>
          <w:b/>
          <w:bCs/>
        </w:rPr>
        <w:t>     REPUBLIKA HRVATSKA</w:t>
      </w:r>
    </w:p>
    <w:p w:rsidR="00451D76" w:rsidRPr="00451D76" w:rsidRDefault="00451D76" w:rsidP="00451D76">
      <w:pPr>
        <w:jc w:val="both"/>
        <w:rPr>
          <w:b/>
          <w:bCs/>
        </w:rPr>
      </w:pPr>
      <w:r w:rsidRPr="00451D76">
        <w:rPr>
          <w:b/>
          <w:bCs/>
        </w:rPr>
        <w:t>ŠIBENSKO-KNINSKA ŽUPANIJA</w:t>
      </w:r>
    </w:p>
    <w:p w:rsidR="00451D76" w:rsidRPr="00451D76" w:rsidRDefault="00451D76" w:rsidP="00451D76">
      <w:pPr>
        <w:jc w:val="both"/>
        <w:rPr>
          <w:b/>
          <w:bCs/>
        </w:rPr>
      </w:pPr>
      <w:r w:rsidRPr="00451D76">
        <w:rPr>
          <w:b/>
          <w:bCs/>
        </w:rPr>
        <w:t xml:space="preserve">                   </w:t>
      </w:r>
      <w:r w:rsidRPr="00451D76">
        <w:rPr>
          <w:noProof/>
          <w:lang w:eastAsia="hr-HR"/>
        </w:rPr>
        <w:drawing>
          <wp:inline distT="0" distB="0" distL="0" distR="0">
            <wp:extent cx="438150" cy="609600"/>
            <wp:effectExtent l="0" t="0" r="0" b="0"/>
            <wp:docPr id="3" name="Slika 3" descr="cid:image005.jpg@01D6901B.6E60C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id:image005.jpg@01D6901B.6E60C24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D76" w:rsidRPr="00451D76" w:rsidRDefault="00451D76" w:rsidP="00451D76">
      <w:pPr>
        <w:jc w:val="both"/>
        <w:rPr>
          <w:b/>
          <w:bCs/>
        </w:rPr>
      </w:pPr>
      <w:r w:rsidRPr="00451D76">
        <w:rPr>
          <w:b/>
          <w:bCs/>
        </w:rPr>
        <w:t>       OPĆINA PROMINA</w:t>
      </w:r>
    </w:p>
    <w:p w:rsidR="00451D76" w:rsidRPr="00451D76" w:rsidRDefault="00451D76" w:rsidP="00451D76">
      <w:pPr>
        <w:jc w:val="both"/>
        <w:rPr>
          <w:b/>
          <w:bCs/>
        </w:rPr>
      </w:pPr>
      <w:r w:rsidRPr="00451D76">
        <w:rPr>
          <w:b/>
          <w:bCs/>
        </w:rPr>
        <w:t>      OPĆINSKO VIJEĆE</w:t>
      </w:r>
    </w:p>
    <w:p w:rsidR="00451D76" w:rsidRPr="00451D76" w:rsidRDefault="00451D76" w:rsidP="00451D76">
      <w:pPr>
        <w:pStyle w:val="Tijeloteksta"/>
        <w:spacing w:before="90" w:line="252" w:lineRule="auto"/>
        <w:ind w:right="7244"/>
        <w:rPr>
          <w:sz w:val="22"/>
          <w:szCs w:val="22"/>
        </w:rPr>
      </w:pPr>
      <w:r w:rsidRPr="00451D76">
        <w:rPr>
          <w:sz w:val="22"/>
          <w:szCs w:val="22"/>
        </w:rPr>
        <w:t xml:space="preserve">KLASA: 010-10/20-01/1 </w:t>
      </w:r>
      <w:proofErr w:type="spellStart"/>
      <w:r w:rsidRPr="00451D76">
        <w:rPr>
          <w:sz w:val="22"/>
          <w:szCs w:val="22"/>
        </w:rPr>
        <w:t>URBROJ</w:t>
      </w:r>
      <w:proofErr w:type="spellEnd"/>
      <w:r w:rsidRPr="00451D76">
        <w:rPr>
          <w:sz w:val="22"/>
          <w:szCs w:val="22"/>
        </w:rPr>
        <w:t>: 2182/09-20-07</w:t>
      </w:r>
    </w:p>
    <w:p w:rsidR="00451D76" w:rsidRPr="00451D76" w:rsidRDefault="00B36592" w:rsidP="00451D76">
      <w:pPr>
        <w:pStyle w:val="Tijeloteksta"/>
        <w:spacing w:before="1"/>
        <w:rPr>
          <w:sz w:val="22"/>
          <w:szCs w:val="22"/>
        </w:rPr>
      </w:pPr>
      <w:r>
        <w:rPr>
          <w:sz w:val="22"/>
          <w:szCs w:val="22"/>
        </w:rPr>
        <w:t>Oklaj, 08.10.</w:t>
      </w:r>
      <w:r w:rsidR="00451D76" w:rsidRPr="00451D76">
        <w:rPr>
          <w:sz w:val="22"/>
          <w:szCs w:val="22"/>
        </w:rPr>
        <w:t>2020.</w:t>
      </w:r>
    </w:p>
    <w:p w:rsidR="00B25632" w:rsidRPr="00451D76" w:rsidRDefault="00B25632" w:rsidP="00B25632">
      <w:pPr>
        <w:pStyle w:val="Tijeloteksta"/>
        <w:spacing w:before="3"/>
        <w:rPr>
          <w:b/>
          <w:sz w:val="22"/>
          <w:szCs w:val="22"/>
        </w:rPr>
      </w:pPr>
    </w:p>
    <w:p w:rsidR="00F75BD6" w:rsidRPr="00451D76" w:rsidRDefault="00F75BD6" w:rsidP="00F75BD6">
      <w:pPr>
        <w:pStyle w:val="Tijeloteksta"/>
        <w:ind w:left="232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Na temelju članka 62. Zakona o komunalnom gospodarstvu („Narodne novine“, broj 68/18, 110/18 i 32/20), članka 25. stavka 1. alineja 6. Statuta Općine Promina („Službeni vjesnik Šibensko-kninske županije“, broj 2/18, 7/18 i „Službeno glasilo Općine Promina“, broj 1/20) Općin</w:t>
      </w:r>
      <w:r w:rsidR="00844DEB" w:rsidRPr="00451D76">
        <w:rPr>
          <w:sz w:val="22"/>
          <w:szCs w:val="22"/>
        </w:rPr>
        <w:t xml:space="preserve">sko vijeće Općine Promina, </w:t>
      </w:r>
      <w:r w:rsidR="00B36592">
        <w:rPr>
          <w:sz w:val="22"/>
          <w:szCs w:val="22"/>
        </w:rPr>
        <w:t>na 20. sjednici održanoj dana 08.10.</w:t>
      </w:r>
      <w:bookmarkStart w:id="0" w:name="_GoBack"/>
      <w:bookmarkEnd w:id="0"/>
      <w:r w:rsidRPr="00451D76">
        <w:rPr>
          <w:sz w:val="22"/>
          <w:szCs w:val="22"/>
        </w:rPr>
        <w:t>2020. donijelo</w:t>
      </w:r>
      <w:r w:rsidRPr="00451D76">
        <w:rPr>
          <w:spacing w:val="-2"/>
          <w:sz w:val="22"/>
          <w:szCs w:val="22"/>
        </w:rPr>
        <w:t xml:space="preserve"> </w:t>
      </w:r>
      <w:r w:rsidRPr="00451D76">
        <w:rPr>
          <w:sz w:val="22"/>
          <w:szCs w:val="22"/>
        </w:rPr>
        <w:t>je</w:t>
      </w:r>
    </w:p>
    <w:p w:rsidR="00F75BD6" w:rsidRPr="00451D76" w:rsidRDefault="00F75BD6" w:rsidP="00F75BD6">
      <w:pPr>
        <w:pStyle w:val="Tijeloteksta"/>
        <w:spacing w:before="6"/>
        <w:rPr>
          <w:sz w:val="22"/>
          <w:szCs w:val="22"/>
        </w:rPr>
      </w:pPr>
    </w:p>
    <w:p w:rsidR="00B25632" w:rsidRPr="00451D76" w:rsidRDefault="00B25632" w:rsidP="00B25632">
      <w:pPr>
        <w:pStyle w:val="Tijeloteksta"/>
        <w:spacing w:before="6"/>
        <w:rPr>
          <w:sz w:val="22"/>
          <w:szCs w:val="22"/>
        </w:rPr>
      </w:pPr>
    </w:p>
    <w:p w:rsidR="00B25632" w:rsidRPr="00451D76" w:rsidRDefault="00590013" w:rsidP="00B25632">
      <w:pPr>
        <w:pStyle w:val="Naslov1"/>
        <w:spacing w:before="1"/>
        <w:ind w:left="3407" w:right="3408"/>
        <w:rPr>
          <w:sz w:val="22"/>
          <w:szCs w:val="22"/>
        </w:rPr>
      </w:pPr>
      <w:r w:rsidRPr="00451D76">
        <w:rPr>
          <w:sz w:val="22"/>
          <w:szCs w:val="22"/>
        </w:rPr>
        <w:t xml:space="preserve">            </w:t>
      </w:r>
      <w:r w:rsidR="00B25632" w:rsidRPr="00451D76">
        <w:rPr>
          <w:sz w:val="22"/>
          <w:szCs w:val="22"/>
        </w:rPr>
        <w:t>O D L U K U</w:t>
      </w:r>
    </w:p>
    <w:p w:rsidR="00B25632" w:rsidRPr="00451D76" w:rsidRDefault="00B25632" w:rsidP="00590013">
      <w:pPr>
        <w:spacing w:before="25"/>
        <w:ind w:left="3375" w:right="347" w:hanging="2746"/>
        <w:jc w:val="both"/>
        <w:rPr>
          <w:b/>
        </w:rPr>
      </w:pPr>
      <w:r w:rsidRPr="00451D76">
        <w:rPr>
          <w:b/>
        </w:rPr>
        <w:t xml:space="preserve">o utvrđivanju svojstva </w:t>
      </w:r>
      <w:r w:rsidR="00590013" w:rsidRPr="00451D76">
        <w:rPr>
          <w:b/>
        </w:rPr>
        <w:t xml:space="preserve">groblja u naselju </w:t>
      </w:r>
      <w:proofErr w:type="spellStart"/>
      <w:r w:rsidR="00590013" w:rsidRPr="00451D76">
        <w:rPr>
          <w:b/>
        </w:rPr>
        <w:t>Bobodol</w:t>
      </w:r>
      <w:proofErr w:type="spellEnd"/>
      <w:r w:rsidR="00590013" w:rsidRPr="00451D76">
        <w:rPr>
          <w:b/>
        </w:rPr>
        <w:t xml:space="preserve"> </w:t>
      </w:r>
      <w:r w:rsidRPr="00451D76">
        <w:rPr>
          <w:b/>
        </w:rPr>
        <w:t>kao</w:t>
      </w:r>
      <w:r w:rsidR="00451D76">
        <w:rPr>
          <w:b/>
        </w:rPr>
        <w:t xml:space="preserve"> komunalne infrastrukture javnog dobra u </w:t>
      </w:r>
      <w:r w:rsidRPr="00451D76">
        <w:rPr>
          <w:b/>
        </w:rPr>
        <w:t>općoj uporabi</w:t>
      </w:r>
    </w:p>
    <w:p w:rsidR="00B25632" w:rsidRPr="00451D76" w:rsidRDefault="00B25632" w:rsidP="00B25632">
      <w:pPr>
        <w:pStyle w:val="Tijeloteksta"/>
        <w:rPr>
          <w:b/>
          <w:sz w:val="22"/>
          <w:szCs w:val="22"/>
        </w:rPr>
      </w:pPr>
    </w:p>
    <w:p w:rsidR="00B25632" w:rsidRPr="00451D76" w:rsidRDefault="00B25632" w:rsidP="00B25632">
      <w:pPr>
        <w:pStyle w:val="Tijeloteksta"/>
        <w:spacing w:before="4"/>
        <w:rPr>
          <w:b/>
          <w:sz w:val="22"/>
          <w:szCs w:val="22"/>
        </w:rPr>
      </w:pPr>
    </w:p>
    <w:p w:rsidR="00B25632" w:rsidRPr="00451D76" w:rsidRDefault="00B25632" w:rsidP="00B25632">
      <w:pPr>
        <w:pStyle w:val="Tijeloteksta"/>
        <w:spacing w:before="1"/>
        <w:ind w:left="459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Članak 1.</w:t>
      </w:r>
    </w:p>
    <w:p w:rsidR="00B25632" w:rsidRPr="00451D76" w:rsidRDefault="00B25632" w:rsidP="00B25632">
      <w:pPr>
        <w:pStyle w:val="Tijeloteksta"/>
        <w:spacing w:before="20" w:line="249" w:lineRule="auto"/>
        <w:ind w:left="217" w:right="225" w:firstLine="15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Utvrđuje se svojstvo</w:t>
      </w:r>
      <w:r w:rsidR="007C729E" w:rsidRPr="00451D76">
        <w:rPr>
          <w:sz w:val="22"/>
          <w:szCs w:val="22"/>
        </w:rPr>
        <w:t xml:space="preserve"> </w:t>
      </w:r>
      <w:r w:rsidR="00590013" w:rsidRPr="00451D76">
        <w:rPr>
          <w:sz w:val="22"/>
          <w:szCs w:val="22"/>
        </w:rPr>
        <w:t xml:space="preserve">groblja u naselju </w:t>
      </w:r>
      <w:proofErr w:type="spellStart"/>
      <w:r w:rsidR="00590013" w:rsidRPr="00451D76">
        <w:rPr>
          <w:sz w:val="22"/>
          <w:szCs w:val="22"/>
        </w:rPr>
        <w:t>Bobodol</w:t>
      </w:r>
      <w:proofErr w:type="spellEnd"/>
      <w:r w:rsidRPr="00451D76">
        <w:rPr>
          <w:b/>
          <w:color w:val="1F2023"/>
          <w:spacing w:val="2"/>
          <w:sz w:val="22"/>
          <w:szCs w:val="22"/>
        </w:rPr>
        <w:t xml:space="preserve"> </w:t>
      </w:r>
      <w:r w:rsidRPr="00451D76">
        <w:rPr>
          <w:sz w:val="22"/>
          <w:szCs w:val="22"/>
        </w:rPr>
        <w:t xml:space="preserve">kao komunalne infrastrukture javnog dobra u općoj uporabi na nekretnini oznake </w:t>
      </w:r>
      <w:r w:rsidRPr="00451D76">
        <w:rPr>
          <w:color w:val="1F2023"/>
          <w:sz w:val="22"/>
          <w:szCs w:val="22"/>
        </w:rPr>
        <w:t>k. č.</w:t>
      </w:r>
      <w:r w:rsidR="00F102E2" w:rsidRPr="00451D76">
        <w:rPr>
          <w:color w:val="1F2023"/>
          <w:sz w:val="22"/>
          <w:szCs w:val="22"/>
        </w:rPr>
        <w:t xml:space="preserve"> 3039 (</w:t>
      </w:r>
      <w:proofErr w:type="spellStart"/>
      <w:r w:rsidR="00F102E2" w:rsidRPr="00451D76">
        <w:rPr>
          <w:color w:val="1F2023"/>
          <w:sz w:val="22"/>
          <w:szCs w:val="22"/>
        </w:rPr>
        <w:t>ZK</w:t>
      </w:r>
      <w:proofErr w:type="spellEnd"/>
      <w:r w:rsidR="00F102E2" w:rsidRPr="00451D76">
        <w:rPr>
          <w:color w:val="1F2023"/>
          <w:sz w:val="22"/>
          <w:szCs w:val="22"/>
        </w:rPr>
        <w:t xml:space="preserve"> oznaka čestice 3039</w:t>
      </w:r>
      <w:r w:rsidR="000330C6" w:rsidRPr="00451D76">
        <w:rPr>
          <w:color w:val="1F2023"/>
          <w:sz w:val="22"/>
          <w:szCs w:val="22"/>
        </w:rPr>
        <w:t>/1)</w:t>
      </w:r>
      <w:r w:rsidR="00F102E2" w:rsidRPr="00451D76">
        <w:rPr>
          <w:color w:val="1F2023"/>
          <w:sz w:val="22"/>
          <w:szCs w:val="22"/>
        </w:rPr>
        <w:t xml:space="preserve"> k.o. Matase</w:t>
      </w:r>
      <w:r w:rsidR="00F102E2" w:rsidRPr="00451D76">
        <w:rPr>
          <w:color w:val="1F2023"/>
          <w:spacing w:val="2"/>
          <w:sz w:val="22"/>
          <w:szCs w:val="22"/>
        </w:rPr>
        <w:t xml:space="preserve"> </w:t>
      </w:r>
      <w:r w:rsidRPr="00451D76">
        <w:rPr>
          <w:color w:val="1F2023"/>
          <w:sz w:val="22"/>
          <w:szCs w:val="22"/>
        </w:rPr>
        <w:t xml:space="preserve">koje </w:t>
      </w:r>
      <w:r w:rsidRPr="00451D76">
        <w:rPr>
          <w:color w:val="1F2023"/>
          <w:spacing w:val="2"/>
          <w:sz w:val="22"/>
          <w:szCs w:val="22"/>
        </w:rPr>
        <w:t xml:space="preserve">sukladno </w:t>
      </w:r>
      <w:r w:rsidRPr="00451D76">
        <w:rPr>
          <w:color w:val="1F2023"/>
          <w:spacing w:val="3"/>
          <w:sz w:val="22"/>
          <w:szCs w:val="22"/>
        </w:rPr>
        <w:t xml:space="preserve">Geodetskom </w:t>
      </w:r>
      <w:r w:rsidRPr="00451D76">
        <w:rPr>
          <w:color w:val="1F2023"/>
          <w:spacing w:val="2"/>
          <w:sz w:val="22"/>
          <w:szCs w:val="22"/>
        </w:rPr>
        <w:t xml:space="preserve">elaboratu </w:t>
      </w:r>
      <w:r w:rsidRPr="00451D76">
        <w:rPr>
          <w:sz w:val="22"/>
          <w:szCs w:val="22"/>
        </w:rPr>
        <w:t xml:space="preserve">izvedenog stanja komunalne </w:t>
      </w:r>
      <w:r w:rsidR="00CB63BF" w:rsidRPr="00451D76">
        <w:rPr>
          <w:spacing w:val="2"/>
          <w:sz w:val="22"/>
          <w:szCs w:val="22"/>
        </w:rPr>
        <w:t xml:space="preserve">infrastrukture </w:t>
      </w:r>
      <w:r w:rsidR="00CB63BF" w:rsidRPr="00451D76">
        <w:rPr>
          <w:sz w:val="22"/>
          <w:szCs w:val="22"/>
        </w:rPr>
        <w:t xml:space="preserve">za groblje u naselju </w:t>
      </w:r>
      <w:proofErr w:type="spellStart"/>
      <w:r w:rsidR="00CB63BF" w:rsidRPr="00451D76">
        <w:rPr>
          <w:sz w:val="22"/>
          <w:szCs w:val="22"/>
        </w:rPr>
        <w:t>Bobodol</w:t>
      </w:r>
      <w:proofErr w:type="spellEnd"/>
      <w:r w:rsidR="001D2FDF" w:rsidRPr="00451D76">
        <w:rPr>
          <w:b/>
          <w:color w:val="1F2023"/>
          <w:spacing w:val="2"/>
          <w:sz w:val="22"/>
          <w:szCs w:val="22"/>
        </w:rPr>
        <w:t xml:space="preserve"> </w:t>
      </w:r>
      <w:r w:rsidRPr="00451D76">
        <w:rPr>
          <w:sz w:val="22"/>
          <w:szCs w:val="22"/>
        </w:rPr>
        <w:t xml:space="preserve">postaje </w:t>
      </w:r>
      <w:r w:rsidRPr="00451D76">
        <w:rPr>
          <w:spacing w:val="2"/>
          <w:sz w:val="22"/>
          <w:szCs w:val="22"/>
        </w:rPr>
        <w:t xml:space="preserve">novoformirana </w:t>
      </w:r>
      <w:r w:rsidR="00CB63BF" w:rsidRPr="00451D76">
        <w:rPr>
          <w:sz w:val="22"/>
          <w:szCs w:val="22"/>
        </w:rPr>
        <w:t>k. č. 3901</w:t>
      </w:r>
      <w:r w:rsidR="007C729E" w:rsidRPr="00451D76">
        <w:rPr>
          <w:sz w:val="22"/>
          <w:szCs w:val="22"/>
        </w:rPr>
        <w:t xml:space="preserve"> </w:t>
      </w:r>
      <w:r w:rsidR="00CB63BF" w:rsidRPr="00451D76">
        <w:rPr>
          <w:sz w:val="22"/>
          <w:szCs w:val="22"/>
        </w:rPr>
        <w:t xml:space="preserve"> k.o. Matase</w:t>
      </w:r>
      <w:r w:rsidRPr="00451D76">
        <w:rPr>
          <w:sz w:val="22"/>
          <w:szCs w:val="22"/>
        </w:rPr>
        <w:t>.</w:t>
      </w:r>
    </w:p>
    <w:p w:rsidR="00B25632" w:rsidRPr="00451D76" w:rsidRDefault="00B25632" w:rsidP="00B25632">
      <w:pPr>
        <w:pStyle w:val="Tijeloteksta"/>
        <w:spacing w:before="6"/>
        <w:rPr>
          <w:sz w:val="22"/>
          <w:szCs w:val="22"/>
        </w:rPr>
      </w:pPr>
    </w:p>
    <w:p w:rsidR="00B25632" w:rsidRPr="00451D76" w:rsidRDefault="00B25632" w:rsidP="00B25632">
      <w:pPr>
        <w:pStyle w:val="Tijeloteksta"/>
        <w:ind w:left="459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Članak 2.</w:t>
      </w:r>
    </w:p>
    <w:p w:rsidR="00B25632" w:rsidRPr="00451D76" w:rsidRDefault="00B25632" w:rsidP="00B25632">
      <w:pPr>
        <w:pStyle w:val="Tijeloteksta"/>
        <w:spacing w:before="20" w:line="249" w:lineRule="auto"/>
        <w:ind w:left="232" w:right="227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Komunalna infrastruktura iz članka 1. ove Odluke u naravi je</w:t>
      </w:r>
      <w:r w:rsidR="007C729E" w:rsidRPr="00451D76">
        <w:rPr>
          <w:sz w:val="22"/>
          <w:szCs w:val="22"/>
        </w:rPr>
        <w:t xml:space="preserve"> </w:t>
      </w:r>
      <w:r w:rsidR="00CB63BF" w:rsidRPr="00451D76">
        <w:rPr>
          <w:sz w:val="22"/>
          <w:szCs w:val="22"/>
        </w:rPr>
        <w:t xml:space="preserve">groblje u naselju </w:t>
      </w:r>
      <w:proofErr w:type="spellStart"/>
      <w:r w:rsidR="00CB63BF" w:rsidRPr="00451D76">
        <w:rPr>
          <w:sz w:val="22"/>
          <w:szCs w:val="22"/>
        </w:rPr>
        <w:t>Bobodol</w:t>
      </w:r>
      <w:proofErr w:type="spellEnd"/>
      <w:r w:rsidRPr="00451D76">
        <w:rPr>
          <w:sz w:val="22"/>
          <w:szCs w:val="22"/>
        </w:rPr>
        <w:t xml:space="preserve">, a ista nije evidentirana u katastarskom </w:t>
      </w:r>
      <w:proofErr w:type="spellStart"/>
      <w:r w:rsidRPr="00451D76">
        <w:rPr>
          <w:sz w:val="22"/>
          <w:szCs w:val="22"/>
        </w:rPr>
        <w:t>operatu</w:t>
      </w:r>
      <w:proofErr w:type="spellEnd"/>
      <w:r w:rsidRPr="00451D76">
        <w:rPr>
          <w:sz w:val="22"/>
          <w:szCs w:val="22"/>
        </w:rPr>
        <w:t xml:space="preserve"> i zemljišnim knjigama u skladu sa svojim stvarnim stanjem.</w:t>
      </w:r>
    </w:p>
    <w:p w:rsidR="001D2FDF" w:rsidRPr="00451D76" w:rsidRDefault="00B25632" w:rsidP="00B25632">
      <w:pPr>
        <w:pStyle w:val="Tijeloteksta"/>
        <w:spacing w:before="3" w:line="249" w:lineRule="auto"/>
        <w:ind w:left="232" w:right="227"/>
        <w:jc w:val="both"/>
        <w:rPr>
          <w:sz w:val="22"/>
          <w:szCs w:val="22"/>
        </w:rPr>
      </w:pPr>
      <w:r w:rsidRPr="00451D76">
        <w:rPr>
          <w:sz w:val="22"/>
          <w:szCs w:val="22"/>
        </w:rPr>
        <w:t xml:space="preserve">Primjenom članka 132. Zakona o komunalnom  gospodarstvu,  a  na  temelju  Geodetskog  </w:t>
      </w:r>
      <w:r w:rsidRPr="00451D76">
        <w:rPr>
          <w:spacing w:val="2"/>
          <w:sz w:val="22"/>
          <w:szCs w:val="22"/>
        </w:rPr>
        <w:t xml:space="preserve">elaborata </w:t>
      </w:r>
      <w:r w:rsidRPr="00451D76">
        <w:rPr>
          <w:sz w:val="22"/>
          <w:szCs w:val="22"/>
        </w:rPr>
        <w:t xml:space="preserve">izvedenog stanja komunalne </w:t>
      </w:r>
      <w:r w:rsidRPr="00451D76">
        <w:rPr>
          <w:spacing w:val="2"/>
          <w:sz w:val="22"/>
          <w:szCs w:val="22"/>
        </w:rPr>
        <w:t xml:space="preserve">infrastrukture </w:t>
      </w:r>
      <w:r w:rsidRPr="00451D76">
        <w:rPr>
          <w:sz w:val="22"/>
          <w:szCs w:val="22"/>
        </w:rPr>
        <w:t>za</w:t>
      </w:r>
      <w:r w:rsidR="000330C6" w:rsidRPr="00451D76">
        <w:rPr>
          <w:sz w:val="22"/>
          <w:szCs w:val="22"/>
        </w:rPr>
        <w:t xml:space="preserve"> </w:t>
      </w:r>
      <w:r w:rsidR="00CB63BF" w:rsidRPr="00451D76">
        <w:rPr>
          <w:sz w:val="22"/>
          <w:szCs w:val="22"/>
        </w:rPr>
        <w:t xml:space="preserve">groblje u naselju </w:t>
      </w:r>
      <w:proofErr w:type="spellStart"/>
      <w:r w:rsidR="00CB63BF" w:rsidRPr="00451D76">
        <w:rPr>
          <w:sz w:val="22"/>
          <w:szCs w:val="22"/>
        </w:rPr>
        <w:t>Bobodol</w:t>
      </w:r>
      <w:proofErr w:type="spellEnd"/>
      <w:r w:rsidRPr="00451D76">
        <w:rPr>
          <w:sz w:val="22"/>
          <w:szCs w:val="22"/>
        </w:rPr>
        <w:t xml:space="preserve"> </w:t>
      </w:r>
      <w:r w:rsidRPr="00451D76">
        <w:rPr>
          <w:spacing w:val="3"/>
          <w:sz w:val="22"/>
          <w:szCs w:val="22"/>
        </w:rPr>
        <w:t xml:space="preserve">(broj  </w:t>
      </w:r>
      <w:r w:rsidRPr="00451D76">
        <w:rPr>
          <w:spacing w:val="2"/>
          <w:sz w:val="22"/>
          <w:szCs w:val="22"/>
        </w:rPr>
        <w:t xml:space="preserve">elaborata </w:t>
      </w:r>
      <w:r w:rsidR="00CB63BF" w:rsidRPr="00451D76">
        <w:rPr>
          <w:sz w:val="22"/>
          <w:szCs w:val="22"/>
        </w:rPr>
        <w:t>2020-092</w:t>
      </w:r>
      <w:r w:rsidRPr="00451D76">
        <w:rPr>
          <w:sz w:val="22"/>
          <w:szCs w:val="22"/>
        </w:rPr>
        <w:t xml:space="preserve"> </w:t>
      </w:r>
      <w:r w:rsidR="00CB63BF" w:rsidRPr="00451D76">
        <w:rPr>
          <w:sz w:val="22"/>
          <w:szCs w:val="22"/>
        </w:rPr>
        <w:t>izrađen od strane tvrtke GEO LOBI d.o.o., Trg Oluje 18, 22 300 Knin</w:t>
      </w:r>
      <w:r w:rsidRPr="00451D76">
        <w:rPr>
          <w:sz w:val="22"/>
          <w:szCs w:val="22"/>
        </w:rPr>
        <w:t>), evidentirati će se stvarno stanje komunalne infrastrukture iz članka 1. ove Odluke te će se u novo stanje upisati nekretnina</w:t>
      </w:r>
      <w:r w:rsidR="001D2FDF" w:rsidRPr="00451D76">
        <w:rPr>
          <w:sz w:val="22"/>
          <w:szCs w:val="22"/>
        </w:rPr>
        <w:t>:</w:t>
      </w:r>
    </w:p>
    <w:p w:rsidR="001D2FDF" w:rsidRPr="00451D76" w:rsidRDefault="00CB63BF" w:rsidP="00B25632">
      <w:pPr>
        <w:pStyle w:val="Tijeloteksta"/>
        <w:spacing w:before="3" w:line="249" w:lineRule="auto"/>
        <w:ind w:left="232" w:right="227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k. č. 3901 k.o. Matase</w:t>
      </w:r>
      <w:r w:rsidR="00B25632" w:rsidRPr="00451D76">
        <w:rPr>
          <w:sz w:val="22"/>
          <w:szCs w:val="22"/>
        </w:rPr>
        <w:t xml:space="preserve"> s načinom uporabe</w:t>
      </w:r>
      <w:r w:rsidR="00CE224C" w:rsidRPr="00451D76">
        <w:rPr>
          <w:sz w:val="22"/>
          <w:szCs w:val="22"/>
        </w:rPr>
        <w:t xml:space="preserve"> </w:t>
      </w:r>
      <w:r w:rsidRPr="00451D76">
        <w:rPr>
          <w:sz w:val="22"/>
          <w:szCs w:val="22"/>
        </w:rPr>
        <w:t xml:space="preserve">groblja u naselju </w:t>
      </w:r>
      <w:proofErr w:type="spellStart"/>
      <w:r w:rsidRPr="00451D76">
        <w:rPr>
          <w:sz w:val="22"/>
          <w:szCs w:val="22"/>
        </w:rPr>
        <w:t>Bobodol</w:t>
      </w:r>
      <w:proofErr w:type="spellEnd"/>
      <w:r w:rsidR="00CE224C" w:rsidRPr="00451D76">
        <w:rPr>
          <w:sz w:val="22"/>
          <w:szCs w:val="22"/>
        </w:rPr>
        <w:t xml:space="preserve"> </w:t>
      </w:r>
    </w:p>
    <w:p w:rsidR="00B25632" w:rsidRPr="00451D76" w:rsidRDefault="00B25632" w:rsidP="00B25632">
      <w:pPr>
        <w:pStyle w:val="Tijeloteksta"/>
        <w:spacing w:before="3" w:line="249" w:lineRule="auto"/>
        <w:ind w:left="232" w:right="227"/>
        <w:jc w:val="both"/>
        <w:rPr>
          <w:sz w:val="22"/>
          <w:szCs w:val="22"/>
        </w:rPr>
      </w:pPr>
      <w:r w:rsidRPr="00451D76">
        <w:rPr>
          <w:sz w:val="22"/>
          <w:szCs w:val="22"/>
        </w:rPr>
        <w:t xml:space="preserve">na ime Javno dobro u općoj uporabi, u neotuđivom vlasništvu Općine Promina, Put kroz Oklaj 144, 22 303 Oklaj, </w:t>
      </w:r>
      <w:proofErr w:type="spellStart"/>
      <w:r w:rsidRPr="00451D76">
        <w:rPr>
          <w:sz w:val="22"/>
          <w:szCs w:val="22"/>
        </w:rPr>
        <w:t>OIB</w:t>
      </w:r>
      <w:proofErr w:type="spellEnd"/>
      <w:r w:rsidRPr="00451D76">
        <w:rPr>
          <w:sz w:val="22"/>
          <w:szCs w:val="22"/>
        </w:rPr>
        <w:t>: 79734182959.</w:t>
      </w:r>
    </w:p>
    <w:p w:rsidR="00B25632" w:rsidRPr="00451D76" w:rsidRDefault="00B25632" w:rsidP="00B25632">
      <w:pPr>
        <w:pStyle w:val="Tijeloteksta"/>
        <w:spacing w:before="6"/>
        <w:rPr>
          <w:sz w:val="22"/>
          <w:szCs w:val="22"/>
        </w:rPr>
      </w:pPr>
    </w:p>
    <w:p w:rsidR="00B25632" w:rsidRPr="00451D76" w:rsidRDefault="00B25632" w:rsidP="00B25632">
      <w:pPr>
        <w:pStyle w:val="Tijeloteksta"/>
        <w:ind w:left="4576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Članak 3.</w:t>
      </w:r>
    </w:p>
    <w:p w:rsidR="00B25632" w:rsidRPr="00451D76" w:rsidRDefault="00B25632" w:rsidP="00B25632">
      <w:pPr>
        <w:pStyle w:val="Tijeloteksta"/>
        <w:spacing w:before="15" w:line="249" w:lineRule="auto"/>
        <w:ind w:left="217" w:right="229" w:firstLine="15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Ovu Odluku dužni su provesti Državna geodetska uprava, Područni ured za katastar Šibenik, Odjel za katastar nekretnina Drniš i Općinski sud u Šibeniku, Zemljišnoknjižni odjel</w:t>
      </w:r>
      <w:r w:rsidRPr="00451D76">
        <w:rPr>
          <w:spacing w:val="-6"/>
          <w:sz w:val="22"/>
          <w:szCs w:val="22"/>
        </w:rPr>
        <w:t xml:space="preserve"> </w:t>
      </w:r>
      <w:r w:rsidRPr="00451D76">
        <w:rPr>
          <w:sz w:val="22"/>
          <w:szCs w:val="22"/>
        </w:rPr>
        <w:t>Drniš.</w:t>
      </w:r>
    </w:p>
    <w:p w:rsidR="00B25632" w:rsidRPr="00451D76" w:rsidRDefault="00B25632" w:rsidP="00B25632">
      <w:pPr>
        <w:pStyle w:val="Tijeloteksta"/>
        <w:spacing w:before="1"/>
        <w:rPr>
          <w:sz w:val="22"/>
          <w:szCs w:val="22"/>
        </w:rPr>
      </w:pPr>
    </w:p>
    <w:p w:rsidR="00B25632" w:rsidRPr="00451D76" w:rsidRDefault="00B25632" w:rsidP="00B25632">
      <w:pPr>
        <w:pStyle w:val="Tijeloteksta"/>
        <w:spacing w:before="1"/>
        <w:ind w:left="4692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Članak 4.</w:t>
      </w:r>
    </w:p>
    <w:p w:rsidR="00B25632" w:rsidRPr="00451D76" w:rsidRDefault="00B25632" w:rsidP="00B25632">
      <w:pPr>
        <w:pStyle w:val="Tijeloteksta"/>
        <w:spacing w:before="14"/>
        <w:ind w:left="232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Ova Odluka stupa na snagu osmog dana nakon objave u „Službenom glasilu Općine Promina“.</w:t>
      </w:r>
    </w:p>
    <w:p w:rsidR="00B25632" w:rsidRPr="00451D76" w:rsidRDefault="00B25632" w:rsidP="00B25632">
      <w:pPr>
        <w:pStyle w:val="Tijeloteksta"/>
        <w:spacing w:before="8"/>
        <w:rPr>
          <w:sz w:val="22"/>
          <w:szCs w:val="22"/>
        </w:rPr>
      </w:pPr>
    </w:p>
    <w:p w:rsidR="00B25632" w:rsidRPr="00451D76" w:rsidRDefault="00451D76" w:rsidP="00451D76">
      <w:pPr>
        <w:pStyle w:val="Tijeloteksta"/>
        <w:spacing w:before="1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</w:t>
      </w:r>
      <w:r w:rsidR="00B25632" w:rsidRPr="00451D76">
        <w:rPr>
          <w:b/>
          <w:sz w:val="22"/>
          <w:szCs w:val="22"/>
        </w:rPr>
        <w:t>OPĆINSKO VIJEĆE</w:t>
      </w:r>
    </w:p>
    <w:p w:rsidR="00B25632" w:rsidRPr="00451D76" w:rsidRDefault="00B25632" w:rsidP="00B25632">
      <w:pPr>
        <w:pStyle w:val="Tijeloteksta"/>
        <w:spacing w:before="1"/>
        <w:ind w:left="232"/>
        <w:jc w:val="center"/>
        <w:rPr>
          <w:b/>
          <w:sz w:val="22"/>
          <w:szCs w:val="22"/>
        </w:rPr>
      </w:pPr>
      <w:r w:rsidRPr="00451D76">
        <w:rPr>
          <w:b/>
          <w:sz w:val="22"/>
          <w:szCs w:val="22"/>
        </w:rPr>
        <w:t>OPĆINE PROMINA</w:t>
      </w:r>
    </w:p>
    <w:p w:rsidR="00B25632" w:rsidRPr="00451D76" w:rsidRDefault="00B25632" w:rsidP="00B25632">
      <w:pPr>
        <w:pStyle w:val="Tijeloteksta"/>
        <w:spacing w:before="1"/>
        <w:ind w:left="232"/>
        <w:jc w:val="center"/>
        <w:rPr>
          <w:b/>
          <w:sz w:val="22"/>
          <w:szCs w:val="22"/>
        </w:rPr>
      </w:pPr>
    </w:p>
    <w:p w:rsidR="00B25632" w:rsidRPr="00451D76" w:rsidRDefault="00B25632" w:rsidP="00B25632">
      <w:pPr>
        <w:pStyle w:val="Tijeloteksta"/>
        <w:spacing w:before="1"/>
        <w:ind w:left="232"/>
        <w:rPr>
          <w:b/>
          <w:sz w:val="22"/>
          <w:szCs w:val="22"/>
        </w:rPr>
      </w:pP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b/>
          <w:sz w:val="22"/>
          <w:szCs w:val="22"/>
        </w:rPr>
        <w:t>PREDSJEDNICA:</w:t>
      </w:r>
    </w:p>
    <w:p w:rsidR="00B25632" w:rsidRPr="00451D76" w:rsidRDefault="00B25632" w:rsidP="00B25632">
      <w:pPr>
        <w:pStyle w:val="Tijeloteksta"/>
        <w:spacing w:before="1"/>
        <w:ind w:left="232"/>
        <w:rPr>
          <w:b/>
          <w:sz w:val="22"/>
          <w:szCs w:val="22"/>
        </w:rPr>
      </w:pPr>
    </w:p>
    <w:p w:rsidR="00B25632" w:rsidRPr="00451D76" w:rsidRDefault="00B25632" w:rsidP="00B25632">
      <w:pPr>
        <w:pStyle w:val="Tijeloteksta"/>
        <w:spacing w:before="1"/>
        <w:ind w:left="232"/>
        <w:rPr>
          <w:sz w:val="22"/>
          <w:szCs w:val="22"/>
        </w:rPr>
      </w:pP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Pr="00451D76">
        <w:rPr>
          <w:sz w:val="22"/>
          <w:szCs w:val="22"/>
        </w:rPr>
        <w:tab/>
      </w:r>
      <w:r w:rsidR="00844DEB" w:rsidRPr="00451D76">
        <w:rPr>
          <w:sz w:val="22"/>
          <w:szCs w:val="22"/>
        </w:rPr>
        <w:t xml:space="preserve">  </w:t>
      </w:r>
      <w:r w:rsidRPr="00451D76">
        <w:rPr>
          <w:sz w:val="22"/>
          <w:szCs w:val="22"/>
        </w:rPr>
        <w:t xml:space="preserve">Davorka </w:t>
      </w:r>
      <w:proofErr w:type="spellStart"/>
      <w:r w:rsidRPr="00451D76">
        <w:rPr>
          <w:sz w:val="22"/>
          <w:szCs w:val="22"/>
        </w:rPr>
        <w:t>Bronić</w:t>
      </w:r>
      <w:proofErr w:type="spellEnd"/>
    </w:p>
    <w:p w:rsidR="00B25632" w:rsidRPr="00451D76" w:rsidRDefault="00B25632" w:rsidP="00B25632">
      <w:pPr>
        <w:pStyle w:val="Tijeloteksta"/>
        <w:spacing w:before="1"/>
        <w:ind w:left="232"/>
        <w:rPr>
          <w:sz w:val="22"/>
          <w:szCs w:val="22"/>
        </w:rPr>
        <w:sectPr w:rsidR="00B25632" w:rsidRPr="00451D76">
          <w:pgSz w:w="11910" w:h="16840"/>
          <w:pgMar w:top="1380" w:right="900" w:bottom="280" w:left="900" w:header="720" w:footer="720" w:gutter="0"/>
          <w:cols w:space="720"/>
        </w:sectPr>
      </w:pPr>
    </w:p>
    <w:p w:rsidR="00B25632" w:rsidRPr="00451D76" w:rsidRDefault="00B25632" w:rsidP="00B25632">
      <w:pPr>
        <w:spacing w:before="77"/>
        <w:ind w:left="232"/>
      </w:pPr>
      <w:r w:rsidRPr="00451D76">
        <w:lastRenderedPageBreak/>
        <w:t>PRAVNA OSNOVA:</w:t>
      </w:r>
    </w:p>
    <w:p w:rsidR="00B25632" w:rsidRPr="00451D76" w:rsidRDefault="00B25632" w:rsidP="00B25632">
      <w:pPr>
        <w:pStyle w:val="Tijeloteksta"/>
        <w:spacing w:before="13"/>
        <w:ind w:left="232"/>
        <w:rPr>
          <w:sz w:val="22"/>
          <w:szCs w:val="22"/>
        </w:rPr>
      </w:pPr>
      <w:r w:rsidRPr="00451D76">
        <w:rPr>
          <w:sz w:val="22"/>
          <w:szCs w:val="22"/>
        </w:rPr>
        <w:t>Zakona o komunalnom gospodarstvu („Narodne novine“, broj 68/18</w:t>
      </w:r>
      <w:r w:rsidR="00271EE5" w:rsidRPr="00451D76">
        <w:rPr>
          <w:sz w:val="22"/>
          <w:szCs w:val="22"/>
        </w:rPr>
        <w:t>, 110/18 i 32/20</w:t>
      </w:r>
      <w:r w:rsidRPr="00451D76">
        <w:rPr>
          <w:sz w:val="22"/>
          <w:szCs w:val="22"/>
        </w:rPr>
        <w:t>)</w:t>
      </w:r>
    </w:p>
    <w:p w:rsidR="00B25632" w:rsidRPr="00451D76" w:rsidRDefault="00B25632" w:rsidP="00B25632">
      <w:pPr>
        <w:pStyle w:val="Tijeloteksta"/>
        <w:spacing w:before="4"/>
        <w:rPr>
          <w:sz w:val="22"/>
          <w:szCs w:val="22"/>
        </w:rPr>
      </w:pPr>
      <w:r w:rsidRPr="00451D76">
        <w:rPr>
          <w:noProof/>
          <w:sz w:val="22"/>
          <w:szCs w:val="22"/>
          <w:lang w:eastAsia="hr-H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191770</wp:posOffset>
                </wp:positionV>
                <wp:extent cx="6266815" cy="200025"/>
                <wp:effectExtent l="8890" t="7620" r="10795" b="11430"/>
                <wp:wrapTopAndBottom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002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1"/>
                              <w:ind w:left="10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PREDLAGATELJ: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50.95pt;margin-top:15.1pt;width:493.45pt;height:15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1"/>
                        <w:ind w:left="10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PREDLAGATELJ: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Pr="00451D76" w:rsidRDefault="00B25632" w:rsidP="00B25632">
      <w:pPr>
        <w:spacing w:before="88" w:line="249" w:lineRule="auto"/>
        <w:ind w:left="242" w:right="347" w:hanging="10"/>
        <w:jc w:val="both"/>
      </w:pPr>
      <w:r w:rsidRPr="00451D76">
        <w:t xml:space="preserve">Sukladno odredbi članka </w:t>
      </w:r>
      <w:r w:rsidR="001D2FDF" w:rsidRPr="00451D76">
        <w:t>54</w:t>
      </w:r>
      <w:r w:rsidRPr="00451D76">
        <w:t>. Statuta Općine Promina („Službeni vjesnik Šibensko-kninske županije“, broj 2/18, 7/18 i „Službeno glasilo Općine Promina“, broj 1/20)</w:t>
      </w:r>
      <w:r w:rsidRPr="00451D76">
        <w:rPr>
          <w:spacing w:val="-4"/>
        </w:rPr>
        <w:t xml:space="preserve"> </w:t>
      </w:r>
      <w:r w:rsidRPr="00451D76">
        <w:t>predlagatelj</w:t>
      </w:r>
      <w:r w:rsidRPr="00451D76">
        <w:rPr>
          <w:spacing w:val="-3"/>
        </w:rPr>
        <w:t xml:space="preserve"> </w:t>
      </w:r>
      <w:r w:rsidRPr="00451D76">
        <w:t>odluke</w:t>
      </w:r>
      <w:r w:rsidRPr="00451D76">
        <w:rPr>
          <w:spacing w:val="-4"/>
        </w:rPr>
        <w:t xml:space="preserve"> </w:t>
      </w:r>
      <w:r w:rsidRPr="00451D76">
        <w:t>je</w:t>
      </w:r>
      <w:r w:rsidRPr="00451D76">
        <w:rPr>
          <w:spacing w:val="-3"/>
        </w:rPr>
        <w:t xml:space="preserve"> </w:t>
      </w:r>
      <w:r w:rsidRPr="00451D76">
        <w:t>općinski</w:t>
      </w:r>
      <w:r w:rsidRPr="00451D76">
        <w:rPr>
          <w:spacing w:val="-3"/>
        </w:rPr>
        <w:t xml:space="preserve"> </w:t>
      </w:r>
      <w:r w:rsidRPr="00451D76">
        <w:t>načelnik.</w:t>
      </w:r>
    </w:p>
    <w:p w:rsidR="00B25632" w:rsidRPr="00451D76" w:rsidRDefault="00B25632" w:rsidP="00B25632">
      <w:pPr>
        <w:pStyle w:val="Tijeloteksta"/>
        <w:spacing w:before="3"/>
        <w:jc w:val="both"/>
        <w:rPr>
          <w:sz w:val="22"/>
          <w:szCs w:val="22"/>
        </w:rPr>
      </w:pPr>
      <w:r w:rsidRPr="00451D76">
        <w:rPr>
          <w:noProof/>
          <w:sz w:val="22"/>
          <w:szCs w:val="22"/>
          <w:lang w:eastAsia="hr-HR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647065</wp:posOffset>
                </wp:positionH>
                <wp:positionV relativeFrom="paragraph">
                  <wp:posOffset>183515</wp:posOffset>
                </wp:positionV>
                <wp:extent cx="6266815" cy="207645"/>
                <wp:effectExtent l="8890" t="13335" r="10795" b="7620"/>
                <wp:wrapTopAndBottom/>
                <wp:docPr id="1" name="Tekstni okvi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6815" cy="20764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5632" w:rsidRDefault="00B25632" w:rsidP="00B25632">
                            <w:pPr>
                              <w:spacing w:before="20"/>
                              <w:ind w:left="10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OBRAZLOŽENJE: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id="Tekstni okvir 1" o:spid="_x0000_s1027" type="#_x0000_t202" style="position:absolute;left:0;text-align:left;margin-left:50.95pt;margin-top:14.45pt;width:493.45pt;height:16.3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" filled="f" strokeweight=".16936mm">
                <v:textbox inset="0,0,0,0">
                  <w:txbxContent>
                    <w:p w:rsidR="00B25632" w:rsidRDefault="00B25632" w:rsidP="00B25632">
                      <w:pPr>
                        <w:spacing w:before="20"/>
                        <w:ind w:left="109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OBRAZLOŽENJE: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5632" w:rsidRPr="00451D76" w:rsidRDefault="00B25632" w:rsidP="00B25632">
      <w:pPr>
        <w:pStyle w:val="Tijeloteksta"/>
        <w:spacing w:before="87" w:line="249" w:lineRule="auto"/>
        <w:ind w:left="227" w:right="228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 xml:space="preserve">Zakon o komunalnom gospodarstvu („Narodne novine“, broj 68/18, 110/18 i 32/20), sadrži dosta novina u nadležnostima </w:t>
      </w:r>
      <w:proofErr w:type="spellStart"/>
      <w:r w:rsidRPr="00451D76">
        <w:rPr>
          <w:sz w:val="22"/>
          <w:szCs w:val="22"/>
        </w:rPr>
        <w:t>JLS</w:t>
      </w:r>
      <w:proofErr w:type="spellEnd"/>
      <w:r w:rsidRPr="00451D76">
        <w:rPr>
          <w:sz w:val="22"/>
          <w:szCs w:val="22"/>
        </w:rPr>
        <w:t>-a, načinu postupanja i upisa komunalne infrastrukture u evidencije i zemljišne knjige.</w:t>
      </w:r>
    </w:p>
    <w:p w:rsidR="00B25632" w:rsidRPr="00451D76" w:rsidRDefault="00B25632" w:rsidP="00B25632">
      <w:pPr>
        <w:pStyle w:val="Tijeloteksta"/>
        <w:spacing w:before="169"/>
        <w:ind w:left="217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Članak 59. predmetnog Zakona je odredio da komunalna infrastruktura jesu:</w:t>
      </w:r>
    </w:p>
    <w:p w:rsidR="00B25632" w:rsidRPr="00451D76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before="179"/>
      </w:pPr>
      <w:r w:rsidRPr="00451D76">
        <w:t>nerazvrstane</w:t>
      </w:r>
      <w:r w:rsidRPr="00451D76">
        <w:rPr>
          <w:spacing w:val="-3"/>
        </w:rPr>
        <w:t xml:space="preserve"> </w:t>
      </w:r>
      <w:r w:rsidRPr="00451D76">
        <w:t>ceste</w:t>
      </w:r>
    </w:p>
    <w:p w:rsidR="00B25632" w:rsidRPr="00451D76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</w:pPr>
      <w:r w:rsidRPr="00451D76">
        <w:t>javne prometne površine na kojima nije dopušten promet motornih</w:t>
      </w:r>
      <w:r w:rsidRPr="00451D76">
        <w:rPr>
          <w:spacing w:val="-6"/>
        </w:rPr>
        <w:t xml:space="preserve"> </w:t>
      </w:r>
      <w:r w:rsidRPr="00451D76">
        <w:t>vozila</w:t>
      </w:r>
    </w:p>
    <w:p w:rsidR="00B25632" w:rsidRPr="00451D76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</w:pPr>
      <w:r w:rsidRPr="00451D76">
        <w:t>javna</w:t>
      </w:r>
      <w:r w:rsidRPr="00451D76">
        <w:rPr>
          <w:spacing w:val="-2"/>
        </w:rPr>
        <w:t xml:space="preserve"> </w:t>
      </w:r>
      <w:r w:rsidRPr="00451D76">
        <w:t>parkirališta</w:t>
      </w:r>
    </w:p>
    <w:p w:rsidR="00B25632" w:rsidRPr="00451D76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</w:pPr>
      <w:r w:rsidRPr="00451D76">
        <w:t>javne garaže</w:t>
      </w:r>
    </w:p>
    <w:p w:rsidR="00B25632" w:rsidRPr="00451D76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</w:pPr>
      <w:r w:rsidRPr="00451D76">
        <w:t>javne zelene</w:t>
      </w:r>
      <w:r w:rsidRPr="00451D76">
        <w:rPr>
          <w:spacing w:val="-2"/>
        </w:rPr>
        <w:t xml:space="preserve"> </w:t>
      </w:r>
      <w:r w:rsidRPr="00451D76">
        <w:t>površine</w:t>
      </w:r>
    </w:p>
    <w:p w:rsidR="00B25632" w:rsidRPr="00451D76" w:rsidRDefault="00B25632" w:rsidP="00B25632">
      <w:pPr>
        <w:pStyle w:val="Naslov1"/>
        <w:numPr>
          <w:ilvl w:val="1"/>
          <w:numId w:val="1"/>
        </w:numPr>
        <w:tabs>
          <w:tab w:val="left" w:pos="1083"/>
        </w:tabs>
        <w:spacing w:before="2" w:line="275" w:lineRule="exact"/>
        <w:rPr>
          <w:b w:val="0"/>
          <w:sz w:val="22"/>
          <w:szCs w:val="22"/>
        </w:rPr>
      </w:pPr>
      <w:r w:rsidRPr="00451D76">
        <w:rPr>
          <w:b w:val="0"/>
          <w:sz w:val="22"/>
          <w:szCs w:val="22"/>
        </w:rPr>
        <w:t>građevine i uređaji javne</w:t>
      </w:r>
      <w:r w:rsidRPr="00451D76">
        <w:rPr>
          <w:b w:val="0"/>
          <w:spacing w:val="-3"/>
          <w:sz w:val="22"/>
          <w:szCs w:val="22"/>
        </w:rPr>
        <w:t xml:space="preserve"> </w:t>
      </w:r>
      <w:r w:rsidRPr="00451D76">
        <w:rPr>
          <w:b w:val="0"/>
          <w:sz w:val="22"/>
          <w:szCs w:val="22"/>
        </w:rPr>
        <w:t>namjene</w:t>
      </w:r>
    </w:p>
    <w:p w:rsidR="00B25632" w:rsidRPr="00451D76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  <w:spacing w:line="275" w:lineRule="exact"/>
      </w:pPr>
      <w:r w:rsidRPr="00451D76">
        <w:t>javna rasvjeta</w:t>
      </w:r>
    </w:p>
    <w:p w:rsidR="00B25632" w:rsidRPr="00451D76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</w:pPr>
      <w:r w:rsidRPr="00451D76">
        <w:t>groblja i krematoriji na</w:t>
      </w:r>
      <w:r w:rsidRPr="00451D76">
        <w:rPr>
          <w:spacing w:val="-1"/>
        </w:rPr>
        <w:t xml:space="preserve"> </w:t>
      </w:r>
      <w:r w:rsidRPr="00451D76">
        <w:t>grobljima</w:t>
      </w:r>
    </w:p>
    <w:p w:rsidR="00B25632" w:rsidRPr="00451D76" w:rsidRDefault="00B25632" w:rsidP="00B25632">
      <w:pPr>
        <w:pStyle w:val="Odlomakpopisa"/>
        <w:numPr>
          <w:ilvl w:val="1"/>
          <w:numId w:val="1"/>
        </w:numPr>
        <w:tabs>
          <w:tab w:val="left" w:pos="1083"/>
        </w:tabs>
      </w:pPr>
      <w:r w:rsidRPr="00451D76">
        <w:t>građevine namijenjene obavljanju javnog</w:t>
      </w:r>
      <w:r w:rsidRPr="00451D76">
        <w:rPr>
          <w:spacing w:val="-5"/>
        </w:rPr>
        <w:t xml:space="preserve"> </w:t>
      </w:r>
      <w:r w:rsidRPr="00451D76">
        <w:t>prijevoza.</w:t>
      </w:r>
    </w:p>
    <w:p w:rsidR="00B25632" w:rsidRPr="00451D76" w:rsidRDefault="00B25632" w:rsidP="00B25632">
      <w:pPr>
        <w:pStyle w:val="Tijeloteksta"/>
        <w:spacing w:line="249" w:lineRule="auto"/>
        <w:ind w:left="227" w:right="229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Zakon također uređuje pravno-tehničke radnje, te postupak za evidentiranje u katastru i upis u zemljišne knjige komunalne infrastrukture izgrađene do dana stupanja na snagu Zakona, odnosno do 4. kolovoza 2018. godine. Svrha opisanih odredbi je konačno razrješenje pravnog statusa komunalne infrastrukture koja nije evidentirana u katastru i koja nije upisana u zemljišne knjige, radi usklađenja upisa sa stvarnim stanjem izgrađene komunalne</w:t>
      </w:r>
      <w:r w:rsidRPr="00451D76">
        <w:rPr>
          <w:spacing w:val="-11"/>
          <w:sz w:val="22"/>
          <w:szCs w:val="22"/>
        </w:rPr>
        <w:t xml:space="preserve"> </w:t>
      </w:r>
      <w:r w:rsidRPr="00451D76">
        <w:rPr>
          <w:sz w:val="22"/>
          <w:szCs w:val="22"/>
        </w:rPr>
        <w:t>infrastrukture.</w:t>
      </w:r>
    </w:p>
    <w:p w:rsidR="00B25632" w:rsidRPr="00451D76" w:rsidRDefault="00B25632" w:rsidP="00B25632">
      <w:pPr>
        <w:pStyle w:val="Tijeloteksta"/>
        <w:spacing w:line="249" w:lineRule="auto"/>
        <w:ind w:left="227" w:right="230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Odredbama članka 61. i 62. istog Zakona određen je pravni status komunalne infrastrukture, te istu definira kao javno dobro u općoj uporabi u vlasništvu odnosno suvlasništvu jedinice lokalne samouprave i/ili osobe koja obavlja komunalnu djelatnost, komunalna infrastruktura može biti u pravnom prometu isključivo između jedinica lokalne samouprave i pravnih osoba koje obavljaju komunalne djelatnosti te druge osobe na toj infrastrukturi ne mogu stjecati stvarna prava, osim prava služnosti i prava građenja sukladno odluci predstavničkog tijela jedinice lokalne samouprave, te ne može biti predmet ovrhe niti</w:t>
      </w:r>
      <w:r w:rsidRPr="00451D76">
        <w:rPr>
          <w:spacing w:val="-1"/>
          <w:sz w:val="22"/>
          <w:szCs w:val="22"/>
        </w:rPr>
        <w:t xml:space="preserve"> </w:t>
      </w:r>
      <w:r w:rsidRPr="00451D76">
        <w:rPr>
          <w:sz w:val="22"/>
          <w:szCs w:val="22"/>
        </w:rPr>
        <w:t>stečaja.</w:t>
      </w:r>
    </w:p>
    <w:p w:rsidR="00B25632" w:rsidRPr="00451D76" w:rsidRDefault="00B25632" w:rsidP="00B25632">
      <w:pPr>
        <w:pStyle w:val="Tijeloteksta"/>
        <w:spacing w:line="249" w:lineRule="auto"/>
        <w:ind w:left="227" w:right="229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Komunalna infrastruktura stječe status javnog dobra u općoj uporabi danom njezine izgradnje, uređenja odnosno stupanja na snagu odluke o proglašenju javnog dobra u općoj uporabi, te se upisuje u zemljišne knjige kao javno dobro u općoj uporabi i kao vlasništvo odnosno suvlasništvo jedinice lokalne samouprave i/ili javnog isporučitelja koji upravlja komunalnom infrastrukturom.</w:t>
      </w:r>
    </w:p>
    <w:p w:rsidR="00B25632" w:rsidRPr="00451D76" w:rsidRDefault="00B25632" w:rsidP="00B25632">
      <w:pPr>
        <w:pStyle w:val="Tijeloteksta"/>
        <w:ind w:left="217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Iznimka od ovog pravila je komunalna infrastrukturu izgrađena na pomorskom dobru.</w:t>
      </w:r>
    </w:p>
    <w:p w:rsidR="00B25632" w:rsidRPr="00451D76" w:rsidRDefault="00B25632" w:rsidP="00B25632">
      <w:pPr>
        <w:pStyle w:val="Tijeloteksta"/>
        <w:spacing w:before="179" w:line="249" w:lineRule="auto"/>
        <w:ind w:left="227" w:right="229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Odluku o proglašenju komunalne infrastrukture javnim dobrom u općoj uporabi i odluku o ukidanju statusa javnog dobra u općoj uporabi komunalne infrastrukture donosi predstavničko tijelo jedinice lokalne samouprave.</w:t>
      </w:r>
    </w:p>
    <w:p w:rsidR="00B25632" w:rsidRPr="00451D76" w:rsidRDefault="00B25632" w:rsidP="00B25632">
      <w:pPr>
        <w:pStyle w:val="Tijeloteksta"/>
        <w:spacing w:before="2" w:line="249" w:lineRule="auto"/>
        <w:ind w:left="227" w:right="228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 statusa</w:t>
      </w:r>
      <w:r w:rsidRPr="00451D76">
        <w:rPr>
          <w:spacing w:val="30"/>
          <w:sz w:val="22"/>
          <w:szCs w:val="22"/>
        </w:rPr>
        <w:t xml:space="preserve"> </w:t>
      </w:r>
      <w:r w:rsidRPr="00451D76">
        <w:rPr>
          <w:sz w:val="22"/>
          <w:szCs w:val="22"/>
        </w:rPr>
        <w:t>ako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se</w:t>
      </w:r>
      <w:r w:rsidRPr="00451D76">
        <w:rPr>
          <w:spacing w:val="30"/>
          <w:sz w:val="22"/>
          <w:szCs w:val="22"/>
        </w:rPr>
        <w:t xml:space="preserve"> </w:t>
      </w:r>
      <w:r w:rsidRPr="00451D76">
        <w:rPr>
          <w:sz w:val="22"/>
          <w:szCs w:val="22"/>
        </w:rPr>
        <w:t>radi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o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infrastrukturi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koja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se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upisuje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u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zemljišne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knjige,</w:t>
      </w:r>
      <w:r w:rsidRPr="00451D76">
        <w:rPr>
          <w:spacing w:val="32"/>
          <w:sz w:val="22"/>
          <w:szCs w:val="22"/>
        </w:rPr>
        <w:t xml:space="preserve"> </w:t>
      </w:r>
      <w:r w:rsidRPr="00451D76">
        <w:rPr>
          <w:sz w:val="22"/>
          <w:szCs w:val="22"/>
        </w:rPr>
        <w:t>te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se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dostavlja</w:t>
      </w:r>
      <w:r w:rsidRPr="00451D76">
        <w:rPr>
          <w:spacing w:val="31"/>
          <w:sz w:val="22"/>
          <w:szCs w:val="22"/>
        </w:rPr>
        <w:t xml:space="preserve"> </w:t>
      </w:r>
      <w:r w:rsidRPr="00451D76">
        <w:rPr>
          <w:sz w:val="22"/>
          <w:szCs w:val="22"/>
        </w:rPr>
        <w:t>nadležnom</w:t>
      </w:r>
    </w:p>
    <w:p w:rsidR="00B25632" w:rsidRPr="00451D76" w:rsidRDefault="00B25632" w:rsidP="00B25632">
      <w:pPr>
        <w:spacing w:line="249" w:lineRule="auto"/>
        <w:jc w:val="both"/>
        <w:sectPr w:rsidR="00B25632" w:rsidRPr="00451D76">
          <w:pgSz w:w="11910" w:h="16840"/>
          <w:pgMar w:top="1360" w:right="900" w:bottom="280" w:left="900" w:header="720" w:footer="720" w:gutter="0"/>
          <w:cols w:space="720"/>
        </w:sectPr>
      </w:pPr>
    </w:p>
    <w:p w:rsidR="00B25632" w:rsidRPr="00451D76" w:rsidRDefault="00B25632" w:rsidP="00B25632">
      <w:pPr>
        <w:pStyle w:val="Tijeloteksta"/>
        <w:spacing w:before="76" w:line="249" w:lineRule="auto"/>
        <w:ind w:left="227" w:right="230"/>
        <w:jc w:val="both"/>
        <w:rPr>
          <w:sz w:val="22"/>
          <w:szCs w:val="22"/>
        </w:rPr>
      </w:pPr>
      <w:r w:rsidRPr="00451D76">
        <w:rPr>
          <w:sz w:val="22"/>
          <w:szCs w:val="22"/>
        </w:rPr>
        <w:lastRenderedPageBreak/>
        <w:t>sudu radi provedbe upisa statusa javnog dobra u općoj uporabi u zemljišnim knjigama odnosno radi brisanja tog statusa.</w:t>
      </w:r>
    </w:p>
    <w:p w:rsidR="00B25632" w:rsidRPr="00451D76" w:rsidRDefault="00B25632" w:rsidP="00B25632">
      <w:pPr>
        <w:pStyle w:val="Tijeloteksta"/>
        <w:spacing w:before="4" w:line="249" w:lineRule="auto"/>
        <w:ind w:left="227" w:right="229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Odredbom članka 132. Zakona komunalna infrastruktura izgrađena do dana stupanja na snagu ovoga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 Prijavni list za prethodnu provedbu u zemljišnoj knjizi izrađen u skladu s pregledanim i potvrđenim geodetskim elaboratom izvedenog stanja komunalne infrastrukture i potvrdu jedinice lokalne samouprave da se radi o komunalnoj infrastrukturi zemljišnoknjižnom sudu po službenoj dužnosti dostavlja nadležni ured za katastar. Potvrda mora sadržavati katastarske i zemljišnoknjižne oznake zemljišta na kojem se nalazi i tvrdnju da se radi o komunalnoj infrastrukturi.</w:t>
      </w:r>
    </w:p>
    <w:p w:rsidR="00B25632" w:rsidRPr="00451D76" w:rsidRDefault="00B25632" w:rsidP="00B25632">
      <w:pPr>
        <w:pStyle w:val="Tijeloteksta"/>
        <w:spacing w:line="249" w:lineRule="auto"/>
        <w:ind w:left="227" w:right="229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Komunalna infrastruktura evidentira se u katastru i upisuje u zemljišne knjige kao neotuđivo vlasništvo odnosno suvlasništvo jedinice lokalne samouprave na čijem se području nalazi i/ili javnog isporučitelja koji upravlja komunalnom infrastrukturom, neovisno o postojanju upisa vlasništva i/ili drugih stvarnih prava treće</w:t>
      </w:r>
      <w:r w:rsidRPr="00451D76">
        <w:rPr>
          <w:spacing w:val="-7"/>
          <w:sz w:val="22"/>
          <w:szCs w:val="22"/>
        </w:rPr>
        <w:t xml:space="preserve"> </w:t>
      </w:r>
      <w:r w:rsidRPr="00451D76">
        <w:rPr>
          <w:sz w:val="22"/>
          <w:szCs w:val="22"/>
        </w:rPr>
        <w:t>osobe.</w:t>
      </w:r>
    </w:p>
    <w:p w:rsidR="00B25632" w:rsidRPr="00451D76" w:rsidRDefault="00B25632" w:rsidP="00B25632">
      <w:pPr>
        <w:pStyle w:val="Tijeloteksta"/>
        <w:spacing w:line="249" w:lineRule="auto"/>
        <w:ind w:left="227" w:right="230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Odredbe ovoga Zakona ne odnose se na komunalnu infrastrukturu izgrađenu na zemljištu u vlasništvu Republike Hrvatske, te je taj postupak uređen zakonom kojim se uređuje upravljanje i raspolaganje imovinom u vlasništvu Republike Hrvatske.</w:t>
      </w:r>
    </w:p>
    <w:p w:rsidR="00B25632" w:rsidRPr="00451D76" w:rsidRDefault="00B25632" w:rsidP="00B25632">
      <w:pPr>
        <w:pStyle w:val="Tijeloteksta"/>
        <w:spacing w:line="249" w:lineRule="auto"/>
        <w:ind w:left="227" w:right="229" w:hanging="11"/>
        <w:jc w:val="both"/>
        <w:rPr>
          <w:sz w:val="22"/>
          <w:szCs w:val="22"/>
        </w:rPr>
      </w:pPr>
      <w:r w:rsidRPr="00451D76">
        <w:rPr>
          <w:sz w:val="22"/>
          <w:szCs w:val="22"/>
        </w:rPr>
        <w:t>Kako je odredbama Zakona omogućena evidencija u katastru i upis u zemljišne knjige, potrebno je pristupiti donošenju ove Odluke s ciljem usklađenja stvarnog stanja, obzirom na veliku važnost komunalne infrastrukture za kvalitetno obavljanje osnovnih djelatnosti Općine Promina.</w:t>
      </w:r>
    </w:p>
    <w:p w:rsidR="003721F4" w:rsidRPr="00451D76" w:rsidRDefault="003721F4"/>
    <w:sectPr w:rsidR="003721F4" w:rsidRPr="00451D76">
      <w:pgSz w:w="11910" w:h="16840"/>
      <w:pgMar w:top="13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917F8A"/>
    <w:multiLevelType w:val="hybridMultilevel"/>
    <w:tmpl w:val="43023698"/>
    <w:lvl w:ilvl="0" w:tplc="B386A62A">
      <w:start w:val="18"/>
      <w:numFmt w:val="decimal"/>
      <w:lvlText w:val="%1."/>
      <w:lvlJc w:val="left"/>
      <w:pPr>
        <w:ind w:left="242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05887574">
      <w:start w:val="1"/>
      <w:numFmt w:val="decimal"/>
      <w:lvlText w:val="%2."/>
      <w:lvlJc w:val="left"/>
      <w:pPr>
        <w:ind w:left="1082" w:hanging="2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2" w:tplc="7116C1EA">
      <w:numFmt w:val="bullet"/>
      <w:lvlText w:val="•"/>
      <w:lvlJc w:val="left"/>
      <w:pPr>
        <w:ind w:left="2082" w:hanging="266"/>
      </w:pPr>
      <w:rPr>
        <w:rFonts w:hint="default"/>
        <w:lang w:val="hr-HR" w:eastAsia="en-US" w:bidi="ar-SA"/>
      </w:rPr>
    </w:lvl>
    <w:lvl w:ilvl="3" w:tplc="B7F601B2">
      <w:numFmt w:val="bullet"/>
      <w:lvlText w:val="•"/>
      <w:lvlJc w:val="left"/>
      <w:pPr>
        <w:ind w:left="3085" w:hanging="266"/>
      </w:pPr>
      <w:rPr>
        <w:rFonts w:hint="default"/>
        <w:lang w:val="hr-HR" w:eastAsia="en-US" w:bidi="ar-SA"/>
      </w:rPr>
    </w:lvl>
    <w:lvl w:ilvl="4" w:tplc="5F7233CC">
      <w:numFmt w:val="bullet"/>
      <w:lvlText w:val="•"/>
      <w:lvlJc w:val="left"/>
      <w:pPr>
        <w:ind w:left="4088" w:hanging="266"/>
      </w:pPr>
      <w:rPr>
        <w:rFonts w:hint="default"/>
        <w:lang w:val="hr-HR" w:eastAsia="en-US" w:bidi="ar-SA"/>
      </w:rPr>
    </w:lvl>
    <w:lvl w:ilvl="5" w:tplc="82E02CFE">
      <w:numFmt w:val="bullet"/>
      <w:lvlText w:val="•"/>
      <w:lvlJc w:val="left"/>
      <w:pPr>
        <w:ind w:left="5090" w:hanging="266"/>
      </w:pPr>
      <w:rPr>
        <w:rFonts w:hint="default"/>
        <w:lang w:val="hr-HR" w:eastAsia="en-US" w:bidi="ar-SA"/>
      </w:rPr>
    </w:lvl>
    <w:lvl w:ilvl="6" w:tplc="8A7064B2">
      <w:numFmt w:val="bullet"/>
      <w:lvlText w:val="•"/>
      <w:lvlJc w:val="left"/>
      <w:pPr>
        <w:ind w:left="6093" w:hanging="266"/>
      </w:pPr>
      <w:rPr>
        <w:rFonts w:hint="default"/>
        <w:lang w:val="hr-HR" w:eastAsia="en-US" w:bidi="ar-SA"/>
      </w:rPr>
    </w:lvl>
    <w:lvl w:ilvl="7" w:tplc="670EDACE">
      <w:numFmt w:val="bullet"/>
      <w:lvlText w:val="•"/>
      <w:lvlJc w:val="left"/>
      <w:pPr>
        <w:ind w:left="7096" w:hanging="266"/>
      </w:pPr>
      <w:rPr>
        <w:rFonts w:hint="default"/>
        <w:lang w:val="hr-HR" w:eastAsia="en-US" w:bidi="ar-SA"/>
      </w:rPr>
    </w:lvl>
    <w:lvl w:ilvl="8" w:tplc="B09263AA">
      <w:numFmt w:val="bullet"/>
      <w:lvlText w:val="•"/>
      <w:lvlJc w:val="left"/>
      <w:pPr>
        <w:ind w:left="8098" w:hanging="266"/>
      </w:pPr>
      <w:rPr>
        <w:rFonts w:hint="default"/>
        <w:lang w:val="hr-H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32"/>
    <w:rsid w:val="000330C6"/>
    <w:rsid w:val="001D2FDF"/>
    <w:rsid w:val="00271EE5"/>
    <w:rsid w:val="002B6D43"/>
    <w:rsid w:val="00330219"/>
    <w:rsid w:val="003721F4"/>
    <w:rsid w:val="00451D76"/>
    <w:rsid w:val="00590013"/>
    <w:rsid w:val="00737507"/>
    <w:rsid w:val="007C729E"/>
    <w:rsid w:val="007F171D"/>
    <w:rsid w:val="00844DEB"/>
    <w:rsid w:val="009713F8"/>
    <w:rsid w:val="00AE59AF"/>
    <w:rsid w:val="00B25632"/>
    <w:rsid w:val="00B36592"/>
    <w:rsid w:val="00CB63BF"/>
    <w:rsid w:val="00CE224C"/>
    <w:rsid w:val="00D0008E"/>
    <w:rsid w:val="00E45F89"/>
    <w:rsid w:val="00F055FE"/>
    <w:rsid w:val="00F102E2"/>
    <w:rsid w:val="00F7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E3E4F-E6A1-43A9-83C8-F1B55AC15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256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link w:val="Naslov1Char"/>
    <w:uiPriority w:val="1"/>
    <w:qFormat/>
    <w:rsid w:val="00B25632"/>
    <w:pPr>
      <w:outlineLvl w:val="0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256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B25632"/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B25632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1"/>
    <w:qFormat/>
    <w:rsid w:val="00B25632"/>
    <w:pPr>
      <w:ind w:left="1082" w:hanging="266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45F8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45F8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7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5.jpg@01D6901B.6E60C24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3.png@01D6901B.6E60C24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Senka</cp:lastModifiedBy>
  <cp:revision>6</cp:revision>
  <cp:lastPrinted>2020-10-02T06:08:00Z</cp:lastPrinted>
  <dcterms:created xsi:type="dcterms:W3CDTF">2020-09-28T11:36:00Z</dcterms:created>
  <dcterms:modified xsi:type="dcterms:W3CDTF">2020-10-02T06:31:00Z</dcterms:modified>
</cp:coreProperties>
</file>